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10" w:leftChars="-100" w:right="-210" w:rightChars="-100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pacing w:val="-20"/>
          <w:w w:val="90"/>
          <w:sz w:val="104"/>
          <w:szCs w:val="104"/>
        </w:rPr>
      </w:pPr>
    </w:p>
    <w:p w14:paraId="63FE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-210" w:leftChars="-100" w:right="-210" w:rightChars="-100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pacing w:val="-20"/>
          <w:w w:val="90"/>
          <w:sz w:val="104"/>
          <w:szCs w:val="104"/>
        </w:rPr>
      </w:pPr>
      <w:r>
        <w:rPr>
          <w:rFonts w:hint="default" w:ascii="Times New Roman" w:hAnsi="Times New Roman" w:eastAsia="方正小标宋_GBK" w:cs="Times New Roman"/>
          <w:color w:val="FF0000"/>
          <w:spacing w:val="-20"/>
          <w:w w:val="90"/>
          <w:sz w:val="104"/>
          <w:szCs w:val="104"/>
        </w:rPr>
        <w:t>淮安市城市管理局文件</w:t>
      </w:r>
    </w:p>
    <w:p w14:paraId="681783FD">
      <w:pPr>
        <w:spacing w:line="540" w:lineRule="exact"/>
        <w:rPr>
          <w:rFonts w:hint="default" w:ascii="Times New Roman" w:hAnsi="Times New Roman" w:eastAsia="宋体" w:cs="Times New Roman"/>
          <w:spacing w:val="-20"/>
          <w:szCs w:val="24"/>
        </w:rPr>
      </w:pPr>
      <w:r>
        <w:rPr>
          <w:rFonts w:hint="default" w:ascii="Times New Roman" w:hAnsi="Times New Roman" w:eastAsia="宋体" w:cs="Times New Roman"/>
          <w:spacing w:val="-20"/>
          <w:szCs w:val="24"/>
        </w:rPr>
        <w:tab/>
      </w:r>
    </w:p>
    <w:p w14:paraId="770C0A13">
      <w:pPr>
        <w:spacing w:line="5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 w14:paraId="4CED52F2">
      <w:pPr>
        <w:spacing w:line="54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淮城管发〔202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6CA606EB">
      <w:pPr>
        <w:spacing w:line="560" w:lineRule="exact"/>
        <w:rPr>
          <w:rFonts w:hint="eastAsia" w:ascii="方正小标宋_GBK" w:hAnsi="微软雅黑" w:eastAsia="方正小标宋_GBK" w:cs="宋体"/>
          <w:kern w:val="36"/>
          <w:sz w:val="44"/>
          <w:szCs w:val="44"/>
        </w:rPr>
      </w:pPr>
      <w:r>
        <w:rPr>
          <w:rFonts w:hint="default"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92075</wp:posOffset>
                </wp:positionV>
                <wp:extent cx="5715000" cy="0"/>
                <wp:effectExtent l="0" t="12700" r="0" b="15875"/>
                <wp:wrapNone/>
                <wp:docPr id="1" name="Lin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30" o:spid="_x0000_s1026" o:spt="20" style="position:absolute;left:0pt;margin-left:-3.75pt;margin-top:7.25pt;height:0pt;width:450pt;z-index:251660288;mso-width-relative:page;mso-height-relative:page;" filled="f" stroked="t" coordsize="21600,21600" o:gfxdata="UEsDBAoAAAAAAIdO4kAAAAAAAAAAAAAAAAAEAAAAZHJzL1BLAwQUAAAACACHTuJATJL0kdUAAAAI&#10;AQAADwAAAGRycy9kb3ducmV2LnhtbE1Py07DMBC8I/EP1iJxa51UNLQhTg8gkOBGoVTc3HgTR9jr&#10;KHYf/D2LeoDT7s6MZmar1ck7ccAx9oEU5NMMBFITTE+dgve3x8kCREyajHaBUME3RljVlxeVLk04&#10;0ise1qkTbEKx1ApsSkMpZWwseh2nYUBirg2j14nPsZNm1Ec2907OsqyQXvfECVYPeG+x+VrvvYLn&#10;D9yYzefLwzw4k7fbpyK2tlDq+irP7kAkPKU/MfzW5+pQc6dd2JOJwimY3M5ZyfgNT+YXyxkvuzMg&#10;60r+f6D+AVBLAwQUAAAACACHTuJAAGMnwNsBAADcAwAADgAAAGRycy9lMm9Eb2MueG1srVNNj9Mw&#10;EL0j7X+wfN8mLRRQ1HQPW8plBZWAH+Dak8SSv+Rxm/bfM3a6LSyXHrgktuf5zbw349XTyRp2hIja&#10;u5bPZzVn4KRX2vUt//Vz+/iZM0zCKWG8g5afAfnT+uHdagwNLPzgjYLIiMRhM4aWDymFpqpQDmAF&#10;znwAR8HORysSbWNfqShGYremWtT1x2r0UYXoJSDS6WYK8gtjvIfQd52WsPHyYMGliTWCEYkk4aAD&#10;8nWptutApu9dh5CYaTkpTeVLSWi9z99qvRJNH0UYtLyUIO4p4Y0mK7SjpFeqjUiCHaL+h8pqGT36&#10;Ls2kt9UkpDhCKub1G29+DCJA0UJWY7iajv+PVn477iLTiiaBMycsNfxFO2DL98WbMWBDkGe3i+RU&#10;3mHYxSz01EWb/ySBnYqf56ufcEpM0uHy03xZ12S1fI1Vt4shYvoK3rK8aLmhrMVBcXzBRMkI+grJ&#10;eYxjY8sXyw+FT9DgddRworaBikfXl8vojVZbbUy+grHfP5vIjoKav91SJUUTEf8Fy1k2AocJV0LT&#10;WAwg1BenWDoHssXRa+C5BguKMwP0ePKqDFAS2tyDpNTGkbSbkXm19+pMTTiEqPuBrJhn0oKhphcj&#10;LgOap+rPfUHdHuX6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yS9JHVAAAACAEAAA8AAAAAAAAA&#10;AQAgAAAAIgAAAGRycy9kb3ducmV2LnhtbFBLAQIUABQAAAAIAIdO4kAAYyfA2wEAANwDAAAOAAAA&#10;AAAAAAEAIAAAACQBAABkcnMvZTJvRG9jLnhtbFBLBQYAAAAABgAGAFkBAABx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199F29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_GBK" w:hAnsi="微软雅黑" w:eastAsia="方正小标宋_GBK" w:cs="宋体"/>
          <w:bCs/>
          <w:kern w:val="36"/>
          <w:sz w:val="44"/>
          <w:szCs w:val="44"/>
        </w:rPr>
      </w:pPr>
      <w:r>
        <w:rPr>
          <w:rFonts w:hint="eastAsia" w:ascii="方正小标宋_GBK" w:hAnsi="微软雅黑" w:eastAsia="方正小标宋_GBK" w:cs="宋体"/>
          <w:kern w:val="36"/>
          <w:sz w:val="44"/>
          <w:szCs w:val="44"/>
        </w:rPr>
        <w:t>关于印发《</w:t>
      </w:r>
      <w:r>
        <w:rPr>
          <w:rFonts w:ascii="方正小标宋_GBK" w:hAnsi="微软雅黑" w:eastAsia="方正小标宋_GBK" w:cs="宋体"/>
          <w:bCs/>
          <w:kern w:val="36"/>
          <w:sz w:val="44"/>
          <w:szCs w:val="44"/>
        </w:rPr>
        <w:t>淮安市城市管理行政执法记录仪</w:t>
      </w:r>
    </w:p>
    <w:p w14:paraId="2ACE501C">
      <w:pPr>
        <w:widowControl/>
        <w:shd w:val="clear" w:color="auto" w:fill="FFFFFF"/>
        <w:spacing w:line="640" w:lineRule="exact"/>
        <w:jc w:val="center"/>
        <w:outlineLvl w:val="0"/>
        <w:rPr>
          <w:rFonts w:hint="eastAsia" w:ascii="方正小标宋_GBK" w:hAnsi="微软雅黑" w:eastAsia="方正小标宋_GBK" w:cs="宋体"/>
          <w:kern w:val="36"/>
          <w:sz w:val="44"/>
          <w:szCs w:val="44"/>
        </w:rPr>
      </w:pPr>
      <w:r>
        <w:rPr>
          <w:rFonts w:ascii="方正小标宋_GBK" w:hAnsi="微软雅黑" w:eastAsia="方正小标宋_GBK" w:cs="宋体"/>
          <w:bCs/>
          <w:kern w:val="36"/>
          <w:sz w:val="44"/>
          <w:szCs w:val="44"/>
        </w:rPr>
        <w:t>使用管理办法</w:t>
      </w:r>
      <w:r>
        <w:rPr>
          <w:rFonts w:hint="eastAsia" w:ascii="方正小标宋_GBK" w:hAnsi="微软雅黑" w:eastAsia="方正小标宋_GBK" w:cs="宋体"/>
          <w:kern w:val="36"/>
          <w:sz w:val="44"/>
          <w:szCs w:val="44"/>
        </w:rPr>
        <w:t>》的通知</w:t>
      </w:r>
    </w:p>
    <w:p w14:paraId="47E40190">
      <w:pPr>
        <w:spacing w:line="640" w:lineRule="exac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 w14:paraId="111CBE6B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各区、涟水县城管局，盱眙县、金湖县住建局，市局各处室、直属单位</w:t>
      </w:r>
      <w:r>
        <w:rPr>
          <w:rFonts w:hint="eastAsia" w:ascii="方正仿宋_GBK" w:eastAsia="方正仿宋_GBK"/>
          <w:sz w:val="32"/>
          <w:szCs w:val="32"/>
          <w:lang w:eastAsia="zh-CN"/>
        </w:rPr>
        <w:t>、城管专班、数字城管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6C1BED4">
      <w:pPr>
        <w:widowControl/>
        <w:shd w:val="clear" w:color="auto" w:fill="FFFFFF"/>
        <w:spacing w:line="56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ascii="方正仿宋_GBK" w:hAnsi="宋体" w:eastAsia="方正仿宋_GBK" w:cs="宋体"/>
          <w:kern w:val="0"/>
          <w:sz w:val="32"/>
          <w:szCs w:val="32"/>
        </w:rPr>
        <w:t>为贯彻落实住建部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、省住建厅关于行政执法记录仪使用管理的相关</w:t>
      </w:r>
      <w:r>
        <w:rPr>
          <w:rFonts w:ascii="方正仿宋_GBK" w:hAnsi="宋体" w:eastAsia="方正仿宋_GBK" w:cs="宋体"/>
          <w:kern w:val="0"/>
          <w:sz w:val="32"/>
          <w:szCs w:val="32"/>
        </w:rPr>
        <w:t>要求，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进一步</w:t>
      </w:r>
      <w:r>
        <w:rPr>
          <w:rFonts w:ascii="方正仿宋_GBK" w:hAnsi="宋体" w:eastAsia="方正仿宋_GBK" w:cs="宋体"/>
          <w:kern w:val="0"/>
          <w:sz w:val="32"/>
          <w:szCs w:val="32"/>
        </w:rPr>
        <w:t>提升执法管理水平，我局制定了《</w:t>
      </w:r>
      <w:r>
        <w:rPr>
          <w:rFonts w:ascii="方正仿宋_GBK" w:hAnsi="宋体" w:eastAsia="方正仿宋_GBK" w:cs="宋体"/>
          <w:bCs/>
          <w:kern w:val="0"/>
          <w:sz w:val="32"/>
          <w:szCs w:val="32"/>
        </w:rPr>
        <w:t>淮安市城市管理行政执法记录仪使用管理办法</w:t>
      </w:r>
      <w:r>
        <w:rPr>
          <w:rFonts w:ascii="方正仿宋_GBK" w:hAnsi="宋体" w:eastAsia="方正仿宋_GBK" w:cs="宋体"/>
          <w:kern w:val="0"/>
          <w:sz w:val="32"/>
          <w:szCs w:val="32"/>
        </w:rPr>
        <w:t>》，现印发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给</w:t>
      </w:r>
      <w:r>
        <w:rPr>
          <w:rFonts w:ascii="方正仿宋_GBK" w:hAnsi="宋体" w:eastAsia="方正仿宋_GBK" w:cs="宋体"/>
          <w:kern w:val="0"/>
          <w:sz w:val="32"/>
          <w:szCs w:val="32"/>
        </w:rPr>
        <w:t>你们，请结合工作实际，认真贯彻执行。</w:t>
      </w:r>
    </w:p>
    <w:p w14:paraId="3EEB68E4">
      <w:pPr>
        <w:widowControl/>
        <w:shd w:val="clear" w:color="auto" w:fill="FFFFFF"/>
        <w:spacing w:line="56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</w:p>
    <w:p w14:paraId="41CE3E04">
      <w:pPr>
        <w:widowControl/>
        <w:shd w:val="clear" w:color="auto" w:fill="FFFFFF"/>
        <w:spacing w:line="560" w:lineRule="exact"/>
        <w:ind w:left="5380" w:leftChars="200" w:right="1280" w:hanging="4960" w:hangingChars="1550"/>
        <w:jc w:val="center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                       </w:t>
      </w:r>
    </w:p>
    <w:p w14:paraId="202DF4CC">
      <w:pPr>
        <w:widowControl/>
        <w:shd w:val="clear" w:color="auto" w:fill="FFFFFF"/>
        <w:spacing w:line="560" w:lineRule="exact"/>
        <w:ind w:left="5380" w:leftChars="200" w:right="1280" w:hanging="4960" w:hangingChars="1550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               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淮安市城市管理局</w:t>
      </w:r>
    </w:p>
    <w:p w14:paraId="1E150BAE">
      <w:pPr>
        <w:widowControl/>
        <w:shd w:val="clear" w:color="auto" w:fill="FFFFFF"/>
        <w:spacing w:line="560" w:lineRule="exact"/>
        <w:ind w:left="5380" w:leftChars="200" w:right="1280" w:hanging="4960" w:hangingChars="1550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  <w:sectPr>
          <w:footerReference r:id="rId5" w:type="default"/>
          <w:pgSz w:w="11906" w:h="16838"/>
          <w:pgMar w:top="2041" w:right="1531" w:bottom="204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日</w:t>
      </w:r>
    </w:p>
    <w:p w14:paraId="6DDBF9BA">
      <w:pPr>
        <w:widowControl/>
        <w:shd w:val="clear" w:color="auto" w:fill="FFFFFF"/>
        <w:spacing w:line="560" w:lineRule="exact"/>
        <w:jc w:val="left"/>
        <w:outlineLvl w:val="2"/>
        <w:rPr>
          <w:rFonts w:ascii="方正小标宋_GBK" w:hAnsi="方正小标宋_GBK" w:eastAsia="方正小标宋_GBK" w:cs="Segoe UI"/>
          <w:color w:val="0F1115"/>
          <w:kern w:val="0"/>
          <w:sz w:val="44"/>
          <w:szCs w:val="44"/>
        </w:rPr>
      </w:pPr>
    </w:p>
    <w:p w14:paraId="6B192B2D">
      <w:pPr>
        <w:widowControl/>
        <w:shd w:val="clear" w:color="auto" w:fill="FFFFFF"/>
        <w:spacing w:line="560" w:lineRule="exact"/>
        <w:jc w:val="left"/>
        <w:outlineLvl w:val="2"/>
        <w:rPr>
          <w:rFonts w:ascii="方正小标宋_GBK" w:hAnsi="方正小标宋_GBK" w:eastAsia="方正小标宋_GBK" w:cs="Segoe UI"/>
          <w:color w:val="0F1115"/>
          <w:kern w:val="0"/>
          <w:sz w:val="44"/>
          <w:szCs w:val="44"/>
        </w:rPr>
      </w:pPr>
      <w:r>
        <w:rPr>
          <w:rFonts w:ascii="方正小标宋_GBK" w:hAnsi="方正小标宋_GBK" w:eastAsia="方正小标宋_GBK" w:cs="Segoe UI"/>
          <w:color w:val="0F1115"/>
          <w:kern w:val="0"/>
          <w:sz w:val="44"/>
          <w:szCs w:val="44"/>
        </w:rPr>
        <w:t>淮安市城市管理行政执法记录仪使用管理办法</w:t>
      </w:r>
    </w:p>
    <w:p w14:paraId="3F9A56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方正仿宋_GBK" w:hAnsi="方正仿宋_GBK" w:eastAsia="方正仿宋_GBK" w:cs="Segoe UI"/>
          <w:b/>
          <w:bCs/>
          <w:color w:val="0F1115"/>
          <w:kern w:val="0"/>
          <w:sz w:val="32"/>
          <w:szCs w:val="32"/>
        </w:rPr>
      </w:pPr>
    </w:p>
    <w:p w14:paraId="1EE448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第一条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为规范执法记录仪的使用与管理，强化执法全过程记录，提升执法公信力，保障当事人与执法人员合法权益，依据《中华人民共和国行政处罚法》《城市管理执法办法》等规定，结合我市实际，制定本</w:t>
      </w:r>
      <w:r>
        <w:rPr>
          <w:rFonts w:hint="eastAsia" w:ascii="方正仿宋_GBK" w:hAnsi="方正仿宋_GBK" w:eastAsia="方正仿宋_GBK" w:cs="Segoe UI"/>
          <w:color w:val="0F1115"/>
          <w:kern w:val="0"/>
          <w:sz w:val="32"/>
          <w:szCs w:val="32"/>
        </w:rPr>
        <w:t>办法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。</w:t>
      </w:r>
    </w:p>
    <w:p w14:paraId="36CD9C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第二条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 xml:space="preserve">  本市各级城市管理行政执法部门及镇人民政府、街道办事处承担城管执法职责的机构，执法人员在开展执法活动时适用本</w:t>
      </w:r>
      <w:r>
        <w:rPr>
          <w:rFonts w:hint="eastAsia" w:ascii="方正仿宋_GBK" w:hAnsi="方正仿宋_GBK" w:eastAsia="方正仿宋_GBK" w:cs="Segoe UI"/>
          <w:color w:val="0F1115"/>
          <w:kern w:val="0"/>
          <w:sz w:val="32"/>
          <w:szCs w:val="32"/>
        </w:rPr>
        <w:t>办法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。</w:t>
      </w:r>
    </w:p>
    <w:p w14:paraId="08F54C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第三条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执法记录仪的使用应遵循“全程记录、客观真实、规范管理、责任到人”的原则，确保执法活动可回溯、可监督。</w:t>
      </w:r>
    </w:p>
    <w:p w14:paraId="459699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第四条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实施下列执法活动时，必须全程开启执法记录仪，自到达现场始至执法结束止，不得间断：</w:t>
      </w:r>
    </w:p>
    <w:p w14:paraId="3D7CD1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（一）日常巡查、现场检查；</w:t>
      </w:r>
    </w:p>
    <w:p w14:paraId="7874EE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（二）投诉举报现场处置；</w:t>
      </w:r>
    </w:p>
    <w:p w14:paraId="38ED90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（三）行政强制措施、当场处罚；</w:t>
      </w:r>
    </w:p>
    <w:p w14:paraId="0CD97B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（四）文书送达、调查取证；</w:t>
      </w:r>
    </w:p>
    <w:p w14:paraId="0E5CA0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（五）其他与行政相对人直接接触以及易引发争议的执法环节。</w:t>
      </w:r>
    </w:p>
    <w:p w14:paraId="128BF26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执法记录仪记录应保持完整、连续，不得选择性记录，不得事后补录、删改。</w:t>
      </w:r>
    </w:p>
    <w:p w14:paraId="1DDFE5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第五条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 xml:space="preserve">  记录内容应重点摄录以下要素：</w:t>
      </w:r>
    </w:p>
    <w:p w14:paraId="316929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（一）执法现场环境；</w:t>
      </w:r>
    </w:p>
    <w:p w14:paraId="2A69E8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（二）当事人、证人等现场人员的体貌特征与言行举止；</w:t>
      </w:r>
    </w:p>
    <w:p w14:paraId="3BF6DD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（三）重要涉案物品及其主要特征；</w:t>
      </w:r>
    </w:p>
    <w:p w14:paraId="089AC2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（四）执法人员出示执法证件、告知权利义务、调查取证、送达文书等关键环节；</w:t>
      </w:r>
    </w:p>
    <w:p w14:paraId="343597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（五）其他应当记录的重要内容。</w:t>
      </w:r>
    </w:p>
    <w:p w14:paraId="071158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第六条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执法人员应在执法前检查设备电量、存储空间及功能状态，确保正常使用。设备应佩戴于上衣左肩或左胸等利于采集音像的位置。</w:t>
      </w:r>
    </w:p>
    <w:p w14:paraId="3F7E04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第七条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 xml:space="preserve">  执法记录仪实行“专人专管、谁使用谁负责”制度。使用人负责设备在执法期间的完整、安全，不得私自拆卸、转借或用于工作以外事项。</w:t>
      </w:r>
    </w:p>
    <w:p w14:paraId="60739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 xml:space="preserve">第八条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 xml:space="preserve"> 执法过程中，应首先告知当事人“本次执法全程录音录像”。记录内容应清晰反映执法现场环境、执法人员表明身份、权利义务告知、关键证据、当事人行为等核心要素。</w:t>
      </w:r>
    </w:p>
    <w:p w14:paraId="4E0589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第九条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两人以上同组执法</w:t>
      </w:r>
      <w:r>
        <w:rPr>
          <w:rFonts w:hint="eastAsia" w:ascii="方正仿宋_GBK" w:hAnsi="方正仿宋_GBK" w:eastAsia="方正仿宋_GBK" w:cs="Segoe UI"/>
          <w:color w:val="0F1115"/>
          <w:kern w:val="0"/>
          <w:sz w:val="32"/>
          <w:szCs w:val="32"/>
          <w:lang w:eastAsia="zh-CN"/>
        </w:rPr>
        <w:t>时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，佩戴记录仪的人数不得少于两人，且不低于同组执法总人数的二分之一。遇有重大、敏感或可能引发冲突的执法，应</w:t>
      </w:r>
      <w:r>
        <w:rPr>
          <w:rFonts w:hint="eastAsia" w:ascii="方正仿宋_GBK" w:hAnsi="方正仿宋_GBK" w:eastAsia="方正仿宋_GBK" w:cs="Segoe UI"/>
          <w:color w:val="0F1115"/>
          <w:kern w:val="0"/>
          <w:sz w:val="32"/>
          <w:szCs w:val="32"/>
          <w:lang w:eastAsia="zh-CN"/>
        </w:rPr>
        <w:t>当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同步使用其他音像设备辅助记录。</w:t>
      </w:r>
    </w:p>
    <w:p w14:paraId="4565B4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第十条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因电量、故障等原因无法继续记录的，应立即向执法现场负责人报告，并视情使用其他设备补录。无正当理由不得中断记录或选择性记录。</w:t>
      </w:r>
    </w:p>
    <w:p w14:paraId="69CA2A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第十一条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执法活动结束后，执法人员应在</w:t>
      </w:r>
      <w:r>
        <w:rPr>
          <w:rFonts w:ascii="Times New Roman" w:hAnsi="Times New Roman" w:eastAsia="方正仿宋_GBK" w:cs="Times New Roman"/>
          <w:color w:val="0F1115"/>
          <w:kern w:val="0"/>
          <w:sz w:val="32"/>
          <w:szCs w:val="32"/>
        </w:rPr>
        <w:t>24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小时内将音像资料传输至执法记录仪采集站或其他储存介质，并按要求标注执法事由、时间、地点、人员等信息。未按时导入且无正当理由的，视为未按规定记录。</w:t>
      </w:r>
    </w:p>
    <w:p w14:paraId="0BC989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第十二条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 xml:space="preserve">  执法记录资料实行“一案一档、分类管理”。作为证据使用的，保存期限与案卷保存期限一致；重大、复杂或可能引发复议诉讼的，应长期保存。普通巡查类资料保存期限不少于六个月。</w:t>
      </w:r>
    </w:p>
    <w:p w14:paraId="4D9CD8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第十三条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任何单位和个人不得擅自删改、剪裁、毁损、外传执法记录资料。因办案、执法监督等需要调阅的，须经单位负责人批准，并登记备案。</w:t>
      </w:r>
    </w:p>
    <w:p w14:paraId="15269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第十四条</w:t>
      </w:r>
      <w:r>
        <w:rPr>
          <w:rFonts w:ascii="Cambria" w:hAnsi="Cambria" w:eastAsia="方正仿宋_GBK" w:cs="Cambria"/>
          <w:color w:val="0F1115"/>
          <w:kern w:val="0"/>
          <w:sz w:val="32"/>
          <w:szCs w:val="32"/>
        </w:rPr>
        <w:t xml:space="preserve">  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市、县（区）城管部门应将记录仪使用情况纳入执法管理考核，定期开展抽查、通报。对未按规定使用、未</w:t>
      </w:r>
      <w:bookmarkStart w:id="0" w:name="_GoBack"/>
      <w:bookmarkEnd w:id="0"/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及时归档、管理不力的单位和个人，予以通报批评；造成证据灭失、引发严重后果的，依法依规追究责任。</w:t>
      </w:r>
    </w:p>
    <w:p w14:paraId="05A96E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第十五条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 xml:space="preserve">  协管人员从事执法辅助工作期间使用记录仪的，参照本</w:t>
      </w:r>
      <w:r>
        <w:rPr>
          <w:rFonts w:hint="eastAsia" w:ascii="方正仿宋_GBK" w:hAnsi="方正仿宋_GBK" w:eastAsia="方正仿宋_GBK" w:cs="Segoe UI"/>
          <w:color w:val="0F1115"/>
          <w:kern w:val="0"/>
          <w:sz w:val="32"/>
          <w:szCs w:val="32"/>
        </w:rPr>
        <w:t>办法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执行。</w:t>
      </w:r>
    </w:p>
    <w:p w14:paraId="4FEE27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  <w:r>
        <w:rPr>
          <w:rFonts w:ascii="方正黑体_GBK" w:hAnsi="方正黑体_GBK" w:eastAsia="方正黑体_GBK" w:cs="Segoe UI"/>
          <w:color w:val="0F1115"/>
          <w:kern w:val="0"/>
          <w:sz w:val="32"/>
          <w:szCs w:val="32"/>
        </w:rPr>
        <w:t>第十六条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 xml:space="preserve">  本</w:t>
      </w:r>
      <w:r>
        <w:rPr>
          <w:rFonts w:hint="eastAsia" w:ascii="方正仿宋_GBK" w:hAnsi="方正仿宋_GBK" w:eastAsia="方正仿宋_GBK" w:cs="Segoe UI"/>
          <w:color w:val="0F1115"/>
          <w:kern w:val="0"/>
          <w:sz w:val="32"/>
          <w:szCs w:val="32"/>
        </w:rPr>
        <w:t>办法</w:t>
      </w:r>
      <w:r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  <w:t>自印发之日起施行。</w:t>
      </w:r>
    </w:p>
    <w:p w14:paraId="0A399EA0">
      <w:pPr>
        <w:tabs>
          <w:tab w:val="left" w:pos="2355"/>
        </w:tabs>
        <w:spacing w:line="600" w:lineRule="exact"/>
        <w:ind w:firstLine="320" w:firstLineChars="100"/>
        <w:rPr>
          <w:rFonts w:hint="eastAsia" w:ascii="Times New Roman" w:hAnsi="Times New Roman" w:eastAsia="方正黑体_GBK" w:cs="宋体"/>
          <w:color w:val="000000"/>
          <w:sz w:val="32"/>
          <w:szCs w:val="32"/>
        </w:rPr>
      </w:pPr>
    </w:p>
    <w:p w14:paraId="519A30F2">
      <w:pPr>
        <w:tabs>
          <w:tab w:val="left" w:pos="2355"/>
        </w:tabs>
        <w:spacing w:line="600" w:lineRule="exact"/>
        <w:ind w:firstLine="320" w:firstLineChars="100"/>
        <w:rPr>
          <w:rFonts w:hint="eastAsia" w:ascii="Times New Roman" w:hAnsi="Times New Roman" w:eastAsia="方正黑体_GBK" w:cs="宋体"/>
          <w:color w:val="000000"/>
          <w:sz w:val="32"/>
          <w:szCs w:val="32"/>
        </w:rPr>
      </w:pPr>
    </w:p>
    <w:p w14:paraId="5BE49FCC">
      <w:pPr>
        <w:tabs>
          <w:tab w:val="left" w:pos="2355"/>
        </w:tabs>
        <w:spacing w:line="600" w:lineRule="exact"/>
        <w:ind w:firstLine="320" w:firstLineChars="100"/>
        <w:rPr>
          <w:rFonts w:hint="eastAsia" w:ascii="Times New Roman" w:hAnsi="Times New Roman" w:eastAsia="方正黑体_GBK" w:cs="宋体"/>
          <w:color w:val="000000"/>
          <w:sz w:val="32"/>
          <w:szCs w:val="32"/>
        </w:rPr>
      </w:pPr>
    </w:p>
    <w:p w14:paraId="3E8017DE">
      <w:pPr>
        <w:tabs>
          <w:tab w:val="left" w:pos="2355"/>
        </w:tabs>
        <w:spacing w:line="600" w:lineRule="exact"/>
        <w:ind w:firstLine="320" w:firstLineChars="100"/>
        <w:rPr>
          <w:rFonts w:hint="eastAsia" w:ascii="Times New Roman" w:hAnsi="Times New Roman" w:eastAsia="方正黑体_GBK" w:cs="宋体"/>
          <w:color w:val="000000"/>
          <w:sz w:val="32"/>
          <w:szCs w:val="32"/>
        </w:rPr>
      </w:pPr>
    </w:p>
    <w:p w14:paraId="644908D9">
      <w:pPr>
        <w:tabs>
          <w:tab w:val="left" w:pos="2355"/>
        </w:tabs>
        <w:spacing w:line="600" w:lineRule="exact"/>
        <w:ind w:firstLine="320" w:firstLineChars="1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 w:eastAsia="方正黑体_GBK" w:cs="宋体"/>
          <w:color w:val="000000"/>
          <w:sz w:val="32"/>
          <w:szCs w:val="32"/>
        </w:rPr>
        <w:t>信息公开选项：主动公开</w:t>
      </w:r>
    </w:p>
    <w:p w14:paraId="12E68A46">
      <w:pPr>
        <w:spacing w:line="500" w:lineRule="exact"/>
        <w:ind w:firstLine="210" w:firstLineChars="1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358775</wp:posOffset>
                </wp:positionV>
                <wp:extent cx="54864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8.25pt;height:0pt;width:432pt;z-index:251662336;mso-width-relative:page;mso-height-relative:page;" filled="f" stroked="t" coordsize="21600,21600" o:gfxdata="UEsDBAoAAAAAAIdO4kAAAAAAAAAAAAAAAAAEAAAAZHJzL1BLAwQUAAAACACHTuJALv5O4tQAAAAH&#10;AQAADwAAAGRycy9kb3ducmV2LnhtbE2PzU7DMBCE70i8g7VIXCpqt6hpFeL0AOTGhQLqdRsvSUS8&#10;TmP3B56eRRzgODOrmW+L9dn36khj7AJbmE0NKOI6uI4bC68v1c0KVEzIDvvAZOGTIqzLy4sCcxdO&#10;/EzHTWqUlHDM0UKb0pBrHeuWPMZpGIglew+jxyRybLQb8STlvtdzYzLtsWNZaHGg+5bqj83BW4jV&#10;G+2rr0k9MdvbJtB8//D0iNZeX83MHahE5/R3DD/4gg6lMO3CgV1UvYVMPkkWFtkClMSrpRFj92vo&#10;stD/+ctvUEsDBBQAAAAIAIdO4kB28rcJ9gEAAOQDAAAOAAAAZHJzL2Uyb0RvYy54bWytU81uEzEQ&#10;viPxDpbvZJMoqcoqmx4aygVBJOABJl7vriX/yeNkk5fgBZC4wYkjd96G9jEYe9MU2ksO3YN37Bl/&#10;M98348XV3mi2kwGVsxWfjMacSStcrWxb8c+fbl5dcoYRbA3aWVnxg0R+tXz5YtH7Uk5d53QtAyMQ&#10;i2XvK97F6MuiQNFJAzhyXlpyNi4YiLQNbVEH6And6GI6Hl8UvQu1D05IRDpdDU5+RAznALqmUUKu&#10;nNgaaeOAGqSGSJSwUx75MlfbNFLED02DMjJdcWIa80pJyN6ktVguoGwD+E6JYwlwTgmPOBlQlpKe&#10;oFYQgW2DegJllAgOXRNHwpliIJIVIRaT8SNtPnbgZeZCUqM/iY7PByve79aBqbriM84sGGr47ddf&#10;f758v/v9jdbbnz/YLInUeywp9tquw3GHfh0S430TTPoTF7bPwh5Owsp9ZIIO57PLi9mYNBf3vuLh&#10;og8Y30pnWDIqrpVNnKGE3TuMlIxC70PSsbasr/jr+XROcEAD2FDjyTSeSKBt8110WtU3Sut0A0O7&#10;udaB7SANQf4SJcL9LywlWQF2Q1x2DePRSajf2JrFgyd5LL0KnkowsuZMS3pEySJAKCMofU4kpdaW&#10;KkiqDjoma+PqAzVj64NqO1JikqtMHmp+rvc4qGm6/t1npIfH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v5O4tQAAAAHAQAADwAAAAAAAAABACAAAAAiAAAAZHJzL2Rvd25yZXYueG1sUEsBAhQA&#10;FAAAAAgAh07iQHbytwn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12700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1pt;height:0pt;width:432pt;z-index:251661312;mso-width-relative:page;mso-height-relative:page;" filled="f" stroked="t" coordsize="21600,21600" o:gfxdata="UEsDBAoAAAAAAIdO4kAAAAAAAAAAAAAAAAAEAAAAZHJzL1BLAwQUAAAACACHTuJAnrMFmtIAAAAF&#10;AQAADwAAAGRycy9kb3ducmV2LnhtbE2Py07DMBBF90j8gzVIbCpqN0AVhThdANmxoQWxncZDEhGP&#10;09h9wNczsIHl0b26c6ZcnfygDjTFPrCFxdyAIm6C67m18LKpr3JQMSE7HAKThU+KsKrOz0osXDjy&#10;Mx3WqVUywrFAC11KY6F1bDryGOdhJJbsPUwek+DUajfhUcb9oDNjltpjz3Khw5HuO2o+1ntvIdav&#10;tKu/Zs3MvF23gbLdw9MjWnt5sTB3oBKd0l8ZfvRFHSpx2oY9u6gGCze3UrSQyUOS5stcePvLuir1&#10;f/vqG1BLAwQUAAAACACHTuJAQOX70PYBAADkAwAADgAAAGRycy9lMm9Eb2MueG1srVPNbhMxEL4j&#10;8Q6W72STtKnaVTY9NJQLgkjAA0y83l1L/pPHySYvwQsgcYMTR+68TctjMPamaSmXHNiDd+wZfzPf&#10;N+P59c5otpUBlbMVn4zGnEkrXK1sW/FPH29fXXKGEWwN2llZ8b1Efr14+WLe+1JOXed0LQMjEItl&#10;7yvexejLokDRSQM4cl5acjYuGIi0DW1RB+gJ3ehiOh5fFL0LtQ9OSEQ6XQ5OfkAMpwC6plFCLp3Y&#10;GGnjgBqkhkiUsFMe+SJX2zRSxPdNgzIyXXFiGvNKSchep7VYzKFsA/hOiUMJcEoJzzgZUJaSHqGW&#10;EIFtgvoHyigRHLomjoQzxUAkK0IsJuNn2nzowMvMhaRGfxQd/x+seLddBabqip9xZsFQw++//Lz7&#10;/O33r6+03v/4zs6SSL3HkmJv7CocduhXITHeNcGkP3Fhuyzs/iis3EUm6HB2fnlxPibNxYOveLzo&#10;A8Y30hmWjIprZRNnKGH7FiMlo9CHkHSsLesrfjWbzggOaAAbajyZxhMJtG2+i06r+lZpnW5gaNc3&#10;OrAtpCHIX6JEuH+FpSRLwG6Iy65hPDoJ9Wtbs7j3JI+lV8FTCUbWnGlJjyhZBAhlBKVPiaTU2lIF&#10;SdVBx2StXb2nZmx8UG1HSkxylclDzc/1HgY1TdfTfUZ6fJy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6zBZrSAAAABQEAAA8AAAAAAAAAAQAgAAAAIgAAAGRycy9kb3ducmV2LnhtbFBLAQIUABQA&#10;AAAIAIdO4kBA5fvQ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sz w:val="28"/>
          <w:szCs w:val="28"/>
        </w:rPr>
        <w:t xml:space="preserve">淮安市城市管理局办公室       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 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28"/>
          <w:szCs w:val="28"/>
        </w:rPr>
        <w:t>日印发</w:t>
      </w:r>
    </w:p>
    <w:p w14:paraId="6E3B34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方正仿宋_GBK" w:eastAsia="方正仿宋_GBK" w:cs="Segoe UI"/>
          <w:color w:val="0F1115"/>
          <w:kern w:val="0"/>
          <w:sz w:val="32"/>
          <w:szCs w:val="32"/>
        </w:rPr>
      </w:pPr>
    </w:p>
    <w:sectPr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3C2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317E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8317E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8D"/>
    <w:rsid w:val="00092509"/>
    <w:rsid w:val="0019518A"/>
    <w:rsid w:val="00230C47"/>
    <w:rsid w:val="00B4278D"/>
    <w:rsid w:val="00BC64BB"/>
    <w:rsid w:val="4DEE6ACC"/>
    <w:rsid w:val="6DD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1476</Words>
  <Characters>1486</Characters>
  <Lines>37</Lines>
  <Paragraphs>40</Paragraphs>
  <TotalTime>12</TotalTime>
  <ScaleCrop>false</ScaleCrop>
  <LinksUpToDate>false</LinksUpToDate>
  <CharactersWithSpaces>1614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2026-05-07T08:52:00Z</dcterms:created>
  <dc:creator>皓 贺</dc:creator>
  <cp:lastModifiedBy>嘟噜_</cp:lastModifiedBy>
  <cp:lastPrinted>2026-05-09T03:07:22Z</cp:lastPrinted>
  <dcterms:modified xsi:type="dcterms:W3CDTF">2026-05-09T03:13:06Z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eyJoZGlkIjoiYTQ3ZWNlZjc3ODZhNmYzOWMyNjE5YTFjYzZlNzQ1N2EiLCJ1c2VySWQiOiI5MjUyNTM5NjIifQ==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F3B99F7729B4471A9BC789CEB024C0CB_12</vt:lpwstr>
  </property>
</Properties>
</file>